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37"/>
        <w:gridCol w:w="1535"/>
        <w:gridCol w:w="1538"/>
        <w:gridCol w:w="1535"/>
        <w:gridCol w:w="1531"/>
        <w:gridCol w:w="1538"/>
        <w:gridCol w:w="1536"/>
        <w:gridCol w:w="1538"/>
        <w:gridCol w:w="1532"/>
        <w:gridCol w:w="1532"/>
      </w:tblGrid>
      <w:tr w:rsidR="00F02157" w:rsidRPr="00F02157" w14:paraId="1117A047" w14:textId="77777777" w:rsidTr="00094D56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07058F0" w14:textId="49161141" w:rsidR="00F02157" w:rsidRPr="00F02157" w:rsidRDefault="00F02157" w:rsidP="00004D8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Verzekeraar</w:t>
            </w:r>
            <w:r w:rsidR="003567B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13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241BFE24" w14:textId="7B2881AE" w:rsidR="00F02157" w:rsidRPr="00F02157" w:rsidRDefault="00356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naam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0F1691E" w14:textId="435E5F62" w:rsidR="00F02157" w:rsidRPr="00F02157" w:rsidRDefault="00F02157" w:rsidP="00004D8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Volmacht</w:t>
            </w:r>
            <w:r w:rsidR="003567B7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13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71C441A7" w14:textId="47FCE75B" w:rsidR="00F02157" w:rsidRPr="00F02157" w:rsidRDefault="00356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naam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004D85" w:rsidRPr="00F02157" w14:paraId="2605236C" w14:textId="77777777" w:rsidTr="00094D56">
        <w:trPr>
          <w:trHeight w:val="57"/>
        </w:trPr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73A303E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E5980BA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AAC6757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305538A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E62B44C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AB6EF2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ACC219D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4326CDD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D871242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1D43BC0" w14:textId="77777777" w:rsidR="00004D85" w:rsidRPr="0065411F" w:rsidRDefault="00004D8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094D56" w:rsidRPr="00F02157" w14:paraId="56D4AC82" w14:textId="77777777" w:rsidTr="00094D56"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A299201" w14:textId="39175121" w:rsidR="00094D56" w:rsidRPr="00F02157" w:rsidRDefault="00094D56" w:rsidP="00094D5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Product: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4A6D1BEA" w14:textId="4C2AFF9F" w:rsidR="00094D56" w:rsidRPr="00F02157" w:rsidRDefault="00094D56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product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507E3B" w:rsidRPr="00F02157" w14:paraId="2FB5C707" w14:textId="77777777" w:rsidTr="00C74CD5"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2A2B9E9" w14:textId="53F2ACF0" w:rsidR="00507E3B" w:rsidRDefault="00507E3B" w:rsidP="00094D5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Versienummer AFD-definitie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17C3057A" w14:textId="3A3436EF" w:rsidR="00507E3B" w:rsidRDefault="001100F7" w:rsidP="0032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 w:rsidR="00B82761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ersienummer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350C6D" w:rsidRPr="00F02157" w14:paraId="1DE031E2" w14:textId="77777777" w:rsidTr="00C74CD5"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88BEAEC" w14:textId="5C2CE9C3" w:rsidR="00350C6D" w:rsidRDefault="00350C6D" w:rsidP="00094D5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er sprake van een poolproduct</w:t>
            </w:r>
            <w:r w:rsidR="0032325B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5AC049E8" w14:textId="49FF24A0" w:rsidR="00350C6D" w:rsidRDefault="00350C6D" w:rsidP="0032325B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Ja /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Nee</w:t>
            </w:r>
            <w:r w:rsidR="0032325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32325B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Doorhalen wat niet van toepassing is)</w:t>
            </w:r>
          </w:p>
        </w:tc>
      </w:tr>
      <w:tr w:rsidR="00094D56" w:rsidRPr="00F02157" w14:paraId="1247B825" w14:textId="77777777" w:rsidTr="000660E7"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F5EE6A8" w14:textId="432E90DD" w:rsidR="00094D56" w:rsidRPr="00F02157" w:rsidRDefault="00094D56" w:rsidP="00094D5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Eventuele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subbranche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1FF4ED7E" w14:textId="64E1DDF9" w:rsidR="00094D56" w:rsidRPr="00F02157" w:rsidRDefault="00094D56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subbranche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BE014F" w:rsidRPr="00F02157" w14:paraId="6F5DFC37" w14:textId="77777777" w:rsidTr="00094D56">
        <w:trPr>
          <w:trHeight w:val="57"/>
        </w:trPr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298FDAB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2484AC2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A68D2D1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26C4356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E6028E9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A0E576D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33CAFD6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A328A46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FEF57A0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C0177CE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E014F" w:rsidRPr="00F02157" w14:paraId="3D6F1ECE" w14:textId="77777777" w:rsidTr="00094D56"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F4E171C" w14:textId="5621D0A0" w:rsidR="00BE014F" w:rsidRPr="00F02157" w:rsidRDefault="00BE014F" w:rsidP="004562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Overeengekomen afwijking:</w:t>
            </w:r>
          </w:p>
        </w:tc>
        <w:tc>
          <w:tcPr>
            <w:tcW w:w="10742" w:type="dxa"/>
            <w:gridSpan w:val="7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00AB0F1B" w14:textId="17E78F3B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afwijking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BE014F" w:rsidRPr="00F02157" w14:paraId="35CB89DA" w14:textId="77777777" w:rsidTr="00094D56">
        <w:trPr>
          <w:trHeight w:val="1596"/>
        </w:trPr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C2A3D07" w14:textId="4F22A8DF" w:rsidR="00BE014F" w:rsidRDefault="00BE014F" w:rsidP="00BE014F">
            <w:pPr>
              <w:rPr>
                <w:rFonts w:cstheme="minorHAnsi"/>
                <w:sz w:val="16"/>
                <w:szCs w:val="16"/>
              </w:rPr>
            </w:pPr>
            <w:r w:rsidRPr="008D5968">
              <w:rPr>
                <w:rFonts w:cstheme="minorHAnsi"/>
                <w:sz w:val="16"/>
                <w:szCs w:val="16"/>
              </w:rPr>
              <w:t>Verzekeraar &amp; volmacht hebben samen de ruimte om afwijkende afspraken rond een volmachtproduct te maken. Het is zaak zo concreet als mogelijk de afwijking te benoemen</w:t>
            </w:r>
            <w:r w:rsidR="00704D9D">
              <w:rPr>
                <w:rFonts w:cstheme="minorHAnsi"/>
                <w:sz w:val="16"/>
                <w:szCs w:val="16"/>
              </w:rPr>
              <w:t>, indien mogelijk met een voorbeeld</w:t>
            </w:r>
            <w:r w:rsidRPr="008D5968">
              <w:rPr>
                <w:rFonts w:cstheme="minorHAnsi"/>
                <w:sz w:val="16"/>
                <w:szCs w:val="16"/>
              </w:rPr>
              <w:t>. Bij afwijking</w:t>
            </w:r>
            <w:r w:rsidR="00704D9D">
              <w:rPr>
                <w:rFonts w:cstheme="minorHAnsi"/>
                <w:sz w:val="16"/>
                <w:szCs w:val="16"/>
              </w:rPr>
              <w:t>en op schriftelijke uitgangspunten benoem concreet de tekstonderdelen (paragraaf)</w:t>
            </w:r>
            <w:r w:rsidRPr="008D5968">
              <w:rPr>
                <w:rFonts w:cstheme="minorHAnsi"/>
                <w:sz w:val="16"/>
                <w:szCs w:val="16"/>
              </w:rPr>
              <w:t>.</w:t>
            </w:r>
            <w:r w:rsidR="00704D9D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D1911AB" w14:textId="3E932259" w:rsidR="00A6181F" w:rsidRPr="00F02157" w:rsidRDefault="00A6181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Eventuele aanvullende </w:t>
            </w:r>
            <w:r w:rsidR="0023318D">
              <w:rPr>
                <w:rFonts w:cstheme="minorHAnsi"/>
                <w:sz w:val="16"/>
                <w:szCs w:val="16"/>
              </w:rPr>
              <w:t xml:space="preserve">documenten en </w:t>
            </w:r>
            <w:r>
              <w:rPr>
                <w:rFonts w:cstheme="minorHAnsi"/>
                <w:sz w:val="16"/>
                <w:szCs w:val="16"/>
              </w:rPr>
              <w:t>toelichtingen opnemen als ingesloten bijlage van dit document.</w:t>
            </w:r>
          </w:p>
        </w:tc>
        <w:tc>
          <w:tcPr>
            <w:tcW w:w="10742" w:type="dxa"/>
            <w:gridSpan w:val="7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1340BE27" w14:textId="79E18E32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033B" w:rsidRPr="00F02157" w14:paraId="4F65532D" w14:textId="77777777" w:rsidTr="00D2305E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E2631A8" w14:textId="77777777" w:rsidR="00CD033B" w:rsidRPr="00F02157" w:rsidRDefault="00CD033B" w:rsidP="004562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A4BC9AE" w14:textId="77777777" w:rsidR="00CD033B" w:rsidRPr="00F02157" w:rsidRDefault="00CD033B" w:rsidP="004562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884F546" w14:textId="1D436D16" w:rsidR="00CD033B" w:rsidRDefault="00CD033B" w:rsidP="004562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Soort a</w:t>
            </w:r>
            <w:r w:rsidR="00245114">
              <w:rPr>
                <w:rFonts w:cstheme="minorHAnsi"/>
                <w:sz w:val="20"/>
                <w:szCs w:val="20"/>
              </w:rPr>
              <w:t>fwijking</w:t>
            </w:r>
            <w:r w:rsidR="001465C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28689693" w14:textId="600B012A" w:rsidR="00CD033B" w:rsidRPr="004562A1" w:rsidRDefault="000758CD" w:rsidP="00245114">
            <w:pPr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0139F1">
              <w:rPr>
                <w:rFonts w:cstheme="minorHAnsi"/>
                <w:sz w:val="20"/>
                <w:szCs w:val="20"/>
              </w:rPr>
              <w:t>Korting /</w:t>
            </w:r>
            <w:proofErr w:type="gramEnd"/>
            <w:r w:rsidRPr="000139F1">
              <w:rPr>
                <w:rFonts w:cstheme="minorHAnsi"/>
                <w:sz w:val="20"/>
                <w:szCs w:val="20"/>
              </w:rPr>
              <w:t xml:space="preserve"> </w:t>
            </w:r>
            <w:r w:rsidR="00F20473">
              <w:rPr>
                <w:rFonts w:cstheme="minorHAnsi"/>
                <w:sz w:val="20"/>
                <w:szCs w:val="20"/>
              </w:rPr>
              <w:t>A</w:t>
            </w:r>
            <w:r w:rsidRPr="000139F1">
              <w:rPr>
                <w:rFonts w:cstheme="minorHAnsi"/>
                <w:sz w:val="20"/>
                <w:szCs w:val="20"/>
              </w:rPr>
              <w:t xml:space="preserve">fwijkend eigen risico / </w:t>
            </w:r>
            <w:r w:rsidR="000139F1" w:rsidRPr="000139F1">
              <w:rPr>
                <w:rFonts w:cstheme="minorHAnsi"/>
                <w:sz w:val="20"/>
                <w:szCs w:val="20"/>
              </w:rPr>
              <w:t>Clausulering / Overige afwijkingen</w:t>
            </w:r>
            <w:r w:rsidR="001465CF">
              <w:rPr>
                <w:rFonts w:cstheme="minorHAnsi"/>
                <w:sz w:val="20"/>
                <w:szCs w:val="20"/>
              </w:rPr>
              <w:t xml:space="preserve"> (* Doorhalen wat niet van toepassing is)</w:t>
            </w:r>
          </w:p>
        </w:tc>
      </w:tr>
      <w:tr w:rsidR="004562A1" w:rsidRPr="00F02157" w14:paraId="472AC9A8" w14:textId="77777777" w:rsidTr="004562A1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85B87CE" w14:textId="77777777" w:rsidR="004562A1" w:rsidRPr="00F02157" w:rsidRDefault="004562A1" w:rsidP="004562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A75A09C" w14:textId="77777777" w:rsidR="004562A1" w:rsidRPr="00F02157" w:rsidRDefault="004562A1" w:rsidP="004562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D9F520B" w14:textId="13E96667" w:rsidR="004562A1" w:rsidRPr="00F02157" w:rsidRDefault="004562A1" w:rsidP="004562A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Ingangsdatum: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741B53DF" w14:textId="7C0A3CA8" w:rsidR="004562A1" w:rsidRPr="00F02157" w:rsidRDefault="004562A1" w:rsidP="004562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datum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30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249F140" w14:textId="40218DE1" w:rsidR="004562A1" w:rsidRPr="00F02157" w:rsidRDefault="004562A1" w:rsidP="004562A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F85B2D6" w14:textId="4A531450" w:rsidR="004562A1" w:rsidRPr="004562A1" w:rsidRDefault="004562A1" w:rsidP="004562A1">
            <w:pPr>
              <w:rPr>
                <w:rFonts w:cstheme="minorHAnsi"/>
                <w:sz w:val="16"/>
                <w:szCs w:val="16"/>
              </w:rPr>
            </w:pPr>
            <w:r w:rsidRPr="004562A1">
              <w:rPr>
                <w:rFonts w:cstheme="minorHAnsi"/>
                <w:sz w:val="16"/>
                <w:szCs w:val="16"/>
              </w:rPr>
              <w:t>Met welke frequentie vindt evaluatie van deze afspraken plaats?</w:t>
            </w:r>
          </w:p>
        </w:tc>
      </w:tr>
      <w:tr w:rsidR="00DD2F52" w:rsidRPr="00F02157" w14:paraId="22BB70EE" w14:textId="77777777" w:rsidTr="00094D56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5FEAE5" w14:textId="77777777" w:rsidR="00DD2F52" w:rsidRPr="00F02157" w:rsidRDefault="00DD2F52" w:rsidP="00DD2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AC322D7" w14:textId="77777777" w:rsidR="00DD2F52" w:rsidRPr="00F02157" w:rsidRDefault="00DD2F52" w:rsidP="00DD2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B1C6F2A" w14:textId="17D93D41" w:rsidR="00DD2F52" w:rsidRPr="00F02157" w:rsidRDefault="00DD2F52" w:rsidP="00DD2F5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Einddatum: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6CE18F06" w14:textId="040FA5C8" w:rsidR="00DD2F52" w:rsidRPr="00F02157" w:rsidRDefault="00DD2F52" w:rsidP="00DD2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datum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306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057E00C" w14:textId="32849250" w:rsidR="00DD2F52" w:rsidRPr="00F02157" w:rsidRDefault="00DD2F52" w:rsidP="00DD2F52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Evaluatie frequentie:</w:t>
            </w: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363AFA23" w14:textId="1A1C1821" w:rsidR="00DD2F52" w:rsidRPr="00F02157" w:rsidRDefault="00DD2F52" w:rsidP="00DD2F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periode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0F9AD906" w14:textId="77777777" w:rsidR="00DD2F52" w:rsidRPr="00F02157" w:rsidRDefault="00DD2F52" w:rsidP="00DD2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42847985" w14:textId="77777777" w:rsidR="00DD2F52" w:rsidRPr="00F02157" w:rsidRDefault="00DD2F52" w:rsidP="00DD2F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6F36C1F3" w14:textId="77777777" w:rsidR="00DD2F52" w:rsidRPr="00F02157" w:rsidRDefault="00DD2F52" w:rsidP="00DD2F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014F" w:rsidRPr="00F02157" w14:paraId="3012AD7F" w14:textId="77777777" w:rsidTr="00094D56">
        <w:trPr>
          <w:trHeight w:val="556"/>
        </w:trPr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883FC44" w14:textId="34291A5E" w:rsidR="00BE014F" w:rsidRDefault="004562A1" w:rsidP="00BE014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Hoe</w:t>
            </w:r>
            <w:r w:rsidR="00BE014F">
              <w:rPr>
                <w:rFonts w:cstheme="minorHAnsi"/>
                <w:sz w:val="20"/>
                <w:szCs w:val="20"/>
              </w:rPr>
              <w:t xml:space="preserve"> zijn polissen met deze afwijking</w:t>
            </w:r>
            <w:r w:rsidR="0023318D">
              <w:rPr>
                <w:rFonts w:cstheme="minorHAnsi"/>
                <w:sz w:val="20"/>
                <w:szCs w:val="20"/>
              </w:rPr>
              <w:t xml:space="preserve"> </w:t>
            </w:r>
            <w:r w:rsidR="00BE014F">
              <w:rPr>
                <w:rFonts w:cstheme="minorHAnsi"/>
                <w:sz w:val="20"/>
                <w:szCs w:val="20"/>
              </w:rPr>
              <w:t>herkenbaar: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2B21FB73" w14:textId="77777777" w:rsidR="00BE014F" w:rsidRDefault="00DD2F52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specificatie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  <w:p w14:paraId="2A70499E" w14:textId="77777777" w:rsidR="00874B84" w:rsidRDefault="00874B84" w:rsidP="00BE014F">
            <w:pPr>
              <w:rPr>
                <w:rFonts w:cstheme="minorHAnsi"/>
                <w:sz w:val="20"/>
                <w:szCs w:val="20"/>
              </w:rPr>
            </w:pPr>
          </w:p>
          <w:p w14:paraId="103A2B71" w14:textId="77777777" w:rsidR="00874B84" w:rsidRDefault="00874B84" w:rsidP="00BE014F">
            <w:pPr>
              <w:rPr>
                <w:rFonts w:cstheme="minorHAnsi"/>
                <w:sz w:val="20"/>
                <w:szCs w:val="20"/>
              </w:rPr>
            </w:pPr>
          </w:p>
          <w:p w14:paraId="7DA14CF7" w14:textId="30C4FD67" w:rsidR="00874B84" w:rsidRPr="00F02157" w:rsidRDefault="00874B84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014F" w:rsidRPr="00F02157" w14:paraId="514DE295" w14:textId="77777777" w:rsidTr="00094D56">
        <w:trPr>
          <w:trHeight w:val="57"/>
        </w:trPr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7587BD2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892D6F2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44CC978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0D9EC57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34CA73E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EB89CA3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5DEC02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D3414EA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2134F84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9DE541F" w14:textId="77777777" w:rsidR="00BE014F" w:rsidRPr="0065411F" w:rsidRDefault="00BE014F" w:rsidP="00BE014F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E014F" w:rsidRPr="00F02157" w14:paraId="3D81AE76" w14:textId="77777777" w:rsidTr="00094D56">
        <w:trPr>
          <w:trHeight w:val="556"/>
        </w:trPr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BBB9B77" w14:textId="77777777" w:rsidR="00BE014F" w:rsidRDefault="00BE014F" w:rsidP="00BE014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 zijn de technische risico’s van deze afwijking:</w:t>
            </w:r>
          </w:p>
          <w:p w14:paraId="4E932CC7" w14:textId="641A304B" w:rsidR="00BE014F" w:rsidRPr="00F02157" w:rsidRDefault="00BE014F" w:rsidP="00BE014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28F40067" w14:textId="77777777" w:rsidR="00BE014F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technisch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risico&gt;</w:t>
            </w:r>
          </w:p>
          <w:p w14:paraId="6DB3F51A" w14:textId="77777777" w:rsidR="00FC627E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  <w:p w14:paraId="37FB448D" w14:textId="33C02764" w:rsidR="00FC627E" w:rsidRPr="00F02157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014F" w:rsidRPr="00F02157" w14:paraId="05F1E9A5" w14:textId="77777777" w:rsidTr="00094D56">
        <w:trPr>
          <w:trHeight w:val="556"/>
        </w:trPr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F006C31" w14:textId="01F88FAF" w:rsidR="00BE014F" w:rsidRPr="00F02157" w:rsidRDefault="00BE014F" w:rsidP="00BE014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 zijn de financiële risico’s van deze afwijking: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4CDFBC9D" w14:textId="77777777" w:rsidR="00BE014F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financieel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risico&gt;</w:t>
            </w:r>
          </w:p>
          <w:p w14:paraId="2994F0A3" w14:textId="77777777" w:rsidR="00FC627E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  <w:p w14:paraId="6468076E" w14:textId="3E53A2AF" w:rsidR="00FC627E" w:rsidRPr="00F02157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014F" w:rsidRPr="00F02157" w14:paraId="0DCBB6B7" w14:textId="77777777" w:rsidTr="00094D56">
        <w:trPr>
          <w:trHeight w:val="556"/>
        </w:trPr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30796B4" w14:textId="4F52F1A4" w:rsidR="00BE014F" w:rsidRPr="00F02157" w:rsidRDefault="00BE014F" w:rsidP="00BE014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Welke mitigerende maatregelen worden genomen t.a.v. de technische en/of financiële risico’s: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1CCDE510" w14:textId="77777777" w:rsidR="00BE014F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mitigerende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maatregelen&gt;</w:t>
            </w:r>
          </w:p>
          <w:p w14:paraId="27E14C1C" w14:textId="77777777" w:rsidR="00FC627E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  <w:p w14:paraId="2538C434" w14:textId="21D94964" w:rsidR="00FC627E" w:rsidRPr="00F02157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014F" w:rsidRPr="00F02157" w14:paraId="6D14A4A6" w14:textId="77777777" w:rsidTr="00094D56">
        <w:trPr>
          <w:trHeight w:val="554"/>
        </w:trPr>
        <w:tc>
          <w:tcPr>
            <w:tcW w:w="46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6C01976" w14:textId="5FC548C5" w:rsidR="00BE014F" w:rsidRPr="00F02157" w:rsidRDefault="00BE014F" w:rsidP="00BE014F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Hoe worden de mitigerende maatregelen gemonitord:</w:t>
            </w:r>
          </w:p>
        </w:tc>
        <w:tc>
          <w:tcPr>
            <w:tcW w:w="10742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5C6D3376" w14:textId="77777777" w:rsidR="00BE014F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monitoring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  <w:p w14:paraId="3DC4828B" w14:textId="77777777" w:rsidR="00FC627E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  <w:p w14:paraId="06880744" w14:textId="77777777" w:rsidR="00FC627E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  <w:p w14:paraId="7FF820F0" w14:textId="36D0E257" w:rsidR="00FC627E" w:rsidRPr="00F02157" w:rsidRDefault="00FC627E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E07" w:rsidRPr="00F02157" w14:paraId="431400FB" w14:textId="77777777" w:rsidTr="00094D56">
        <w:trPr>
          <w:trHeight w:val="57"/>
        </w:trPr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C3D4B93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68901AC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111F0F7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855E029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11857A16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8A954C4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325B494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88D4F47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0275BDD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0FC1DE7" w14:textId="77777777" w:rsidR="00903E07" w:rsidRPr="00903E07" w:rsidRDefault="00903E07" w:rsidP="00BE014F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BE014F" w:rsidRPr="00F02157" w14:paraId="0B38B15D" w14:textId="77777777" w:rsidTr="00094D56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632C2E" w14:textId="00BF2311" w:rsidR="00BE014F" w:rsidRPr="00F02157" w:rsidRDefault="00903E07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Verzekeraar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CA2EAF4" w14:textId="77777777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11C716D" w14:textId="77777777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B3833E4" w14:textId="77777777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62BB51A" w14:textId="77777777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5CF8947" w14:textId="782CFA26" w:rsidR="00BE014F" w:rsidRPr="00F02157" w:rsidRDefault="00903E07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Volmacht</w:t>
            </w:r>
            <w:r w:rsidR="00EE07A0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45D232AC" w14:textId="03B68ED6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BEECE12" w14:textId="77777777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3645D5D" w14:textId="77777777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C5E5D93" w14:textId="77777777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014F" w:rsidRPr="00F02157" w14:paraId="2E32F634" w14:textId="77777777" w:rsidTr="00094D56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1FF1574" w14:textId="08022C22" w:rsidR="00BE014F" w:rsidRPr="00F02157" w:rsidRDefault="00BE014F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Contactpersoon:</w:t>
            </w:r>
          </w:p>
        </w:tc>
        <w:tc>
          <w:tcPr>
            <w:tcW w:w="613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2C8EF989" w14:textId="5663B685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naam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407D08B" w14:textId="4A5DDF90" w:rsidR="00BE014F" w:rsidRPr="00F02157" w:rsidRDefault="00BE014F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Contactpersoon:</w:t>
            </w:r>
          </w:p>
        </w:tc>
        <w:tc>
          <w:tcPr>
            <w:tcW w:w="613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74EFCA5B" w14:textId="0E566996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naam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BE014F" w:rsidRPr="00F02157" w14:paraId="5EA96D23" w14:textId="77777777" w:rsidTr="00094D56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0B970CC" w14:textId="241D63E7" w:rsidR="00BE014F" w:rsidRPr="00F02157" w:rsidRDefault="00BE014F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Telefoon: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6529035F" w14:textId="168E688A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nummer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173355E" w14:textId="704D44E1" w:rsidR="00BE014F" w:rsidRPr="00F02157" w:rsidRDefault="00BE014F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e-mail</w:t>
            </w:r>
            <w:proofErr w:type="gram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230AA934" w14:textId="1F660862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e</w:t>
            </w:r>
            <w:r w:rsidR="00903E07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mail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B09FD24" w14:textId="5DA4F4B5" w:rsidR="00BE014F" w:rsidRPr="00F02157" w:rsidRDefault="00BE014F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Telefoon:</w:t>
            </w: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79413254" w14:textId="1C4CB533" w:rsidR="00BE014F" w:rsidRPr="00F02157" w:rsidRDefault="00BE014F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nummer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534C237" w14:textId="45D01927" w:rsidR="00BE014F" w:rsidRPr="00F02157" w:rsidRDefault="00BE014F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e-mail</w:t>
            </w:r>
            <w:proofErr w:type="gramEnd"/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064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2D52DB07" w14:textId="4E86AB4A" w:rsidR="00BE014F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e-mail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</w:tr>
      <w:tr w:rsidR="00903E07" w:rsidRPr="00F02157" w14:paraId="1F476D0B" w14:textId="77777777" w:rsidTr="00094D56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2969CAD" w14:textId="4395532C" w:rsidR="00903E07" w:rsidRPr="00F02157" w:rsidRDefault="00903E07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57056C04" w14:textId="671C7E0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datum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60DC720" w14:textId="5D6BDA9A" w:rsidR="00903E07" w:rsidRPr="00F02157" w:rsidRDefault="00903E07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Handtekening: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6C6A16FD" w14:textId="7777777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00E08C" w14:textId="6D8C29FB" w:rsidR="00903E07" w:rsidRPr="00F02157" w:rsidRDefault="00903E07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Datum:</w:t>
            </w: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65B31F6B" w14:textId="358D9F82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&lt;</w:t>
            </w:r>
            <w:proofErr w:type="gramStart"/>
            <w:r>
              <w:rPr>
                <w:rFonts w:cstheme="minorHAnsi"/>
                <w:sz w:val="20"/>
                <w:szCs w:val="20"/>
              </w:rPr>
              <w:t>datum</w:t>
            </w:r>
            <w:proofErr w:type="gramEnd"/>
            <w:r>
              <w:rPr>
                <w:rFonts w:cstheme="minorHAnsi"/>
                <w:sz w:val="20"/>
                <w:szCs w:val="20"/>
              </w:rPr>
              <w:t>&gt;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3C92D6E" w14:textId="6B6DDA8B" w:rsidR="00903E07" w:rsidRPr="00F02157" w:rsidRDefault="00903E07" w:rsidP="00903E0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Handtekening: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7EB92182" w14:textId="7777777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E07" w:rsidRPr="00F02157" w14:paraId="400479AB" w14:textId="77777777" w:rsidTr="00094D56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A5178EB" w14:textId="77777777" w:rsidR="00903E07" w:rsidRDefault="00903E07" w:rsidP="00903E0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298B7E6" w14:textId="7777777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57D3B504" w14:textId="7777777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3B908B4A" w14:textId="7777777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33C6263" w14:textId="77777777" w:rsidR="00903E07" w:rsidRDefault="00903E07" w:rsidP="00903E0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2E9734E6" w14:textId="7777777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9D53996" w14:textId="7777777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2"/>
            <w:vMerge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DE3F7"/>
          </w:tcPr>
          <w:p w14:paraId="55693433" w14:textId="77777777" w:rsidR="00903E07" w:rsidRPr="00F02157" w:rsidRDefault="00903E07" w:rsidP="00BE014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DE2302" w14:textId="60E5CF63" w:rsidR="00E643A4" w:rsidRDefault="00E643A4" w:rsidP="00E643A4">
      <w:pPr>
        <w:pStyle w:val="Kop1"/>
      </w:pPr>
      <w:r>
        <w:t>Bijlagen</w:t>
      </w:r>
    </w:p>
    <w:p w14:paraId="329457EF" w14:textId="64E8DCC1" w:rsidR="00E643A4" w:rsidRDefault="00E643A4">
      <w:r>
        <w:t xml:space="preserve">Neem op deze pagina als ingesloten document </w:t>
      </w:r>
      <w:r w:rsidR="004562A1">
        <w:t xml:space="preserve">de </w:t>
      </w:r>
      <w:r>
        <w:t>eventuele bijlagen op.</w:t>
      </w:r>
    </w:p>
    <w:p w14:paraId="43C698D9" w14:textId="77777777" w:rsidR="00E643A4" w:rsidRDefault="00E643A4"/>
    <w:p w14:paraId="598C9360" w14:textId="77777777" w:rsidR="00E643A4" w:rsidRDefault="00E643A4"/>
    <w:p w14:paraId="723FA739" w14:textId="77777777" w:rsidR="00E643A4" w:rsidRDefault="00E643A4"/>
    <w:p w14:paraId="51914B09" w14:textId="77777777" w:rsidR="00E643A4" w:rsidRDefault="00E643A4"/>
    <w:p w14:paraId="4E5B580F" w14:textId="77777777" w:rsidR="00E643A4" w:rsidRDefault="00E643A4"/>
    <w:p w14:paraId="4DB49621" w14:textId="77777777" w:rsidR="00E643A4" w:rsidRDefault="00E643A4"/>
    <w:p w14:paraId="409DA6E7" w14:textId="214E237F" w:rsidR="00E643A4" w:rsidRDefault="00E643A4">
      <w:pPr>
        <w:rPr>
          <w:rFonts w:ascii="Arial" w:eastAsiaTheme="majorEastAsia" w:hAnsi="Arial" w:cstheme="majorBidi"/>
          <w:b/>
          <w:color w:val="617FD9"/>
          <w:szCs w:val="32"/>
        </w:rPr>
      </w:pPr>
      <w:r>
        <w:br w:type="page"/>
      </w:r>
    </w:p>
    <w:p w14:paraId="5FC5A8FE" w14:textId="2035878B" w:rsidR="00F9458B" w:rsidRDefault="00F9458B" w:rsidP="00F9458B">
      <w:pPr>
        <w:pStyle w:val="Kop1"/>
      </w:pPr>
      <w:r>
        <w:lastRenderedPageBreak/>
        <w:t>Afspraken over afwijkingen</w:t>
      </w:r>
    </w:p>
    <w:p w14:paraId="0417821B" w14:textId="332CF3A6" w:rsidR="00F9458B" w:rsidRDefault="00F9458B" w:rsidP="00F9458B">
      <w:pPr>
        <w:pStyle w:val="Lijstalinea"/>
        <w:numPr>
          <w:ilvl w:val="0"/>
          <w:numId w:val="1"/>
        </w:numPr>
        <w:jc w:val="both"/>
      </w:pPr>
      <w:r w:rsidRPr="00C310C1">
        <w:t xml:space="preserve">Verzekeraar en volmacht kunnen in onderling overleg afwijken van </w:t>
      </w:r>
      <w:r>
        <w:t>een</w:t>
      </w:r>
      <w:r w:rsidRPr="00C310C1">
        <w:t xml:space="preserve"> productdefinitie en/of het Protocol</w:t>
      </w:r>
      <w:r>
        <w:t xml:space="preserve"> Uniforme Inrichting Volmachtketen</w:t>
      </w:r>
      <w:r w:rsidRPr="00C310C1">
        <w:t xml:space="preserve">. </w:t>
      </w:r>
    </w:p>
    <w:p w14:paraId="76701BB5" w14:textId="4B24F330" w:rsidR="00F9458B" w:rsidRDefault="00F9458B" w:rsidP="00F9458B">
      <w:pPr>
        <w:pStyle w:val="Lijstalinea"/>
        <w:numPr>
          <w:ilvl w:val="0"/>
          <w:numId w:val="1"/>
        </w:numPr>
        <w:jc w:val="both"/>
      </w:pPr>
      <w:r w:rsidRPr="00C310C1">
        <w:t>Afwijkingen die leiden tot het niet kunnen voldoen aan (de datakwaliteit van) het NVGA-Protocol zijn niet toegestaan.</w:t>
      </w:r>
      <w:r>
        <w:t xml:space="preserve"> </w:t>
      </w:r>
      <w:r w:rsidRPr="00C310C1">
        <w:t>De kanttekening is terughoudend te zijn met afwijkende afspraken. Immers, de centrale agenda blijft een zoveel mogelijk uniform ingerichte volmachtketen.</w:t>
      </w:r>
    </w:p>
    <w:p w14:paraId="788CF372" w14:textId="77777777" w:rsidR="00F9458B" w:rsidRDefault="00F9458B" w:rsidP="00F9458B">
      <w:pPr>
        <w:pStyle w:val="Lijstalinea"/>
        <w:numPr>
          <w:ilvl w:val="0"/>
          <w:numId w:val="1"/>
        </w:numPr>
        <w:jc w:val="both"/>
      </w:pPr>
      <w:r>
        <w:t xml:space="preserve">De basis afspraken voor samenwerking zijn vastgelegd in het </w:t>
      </w:r>
      <w:r w:rsidRPr="00C310C1">
        <w:t>Protocol</w:t>
      </w:r>
      <w:r>
        <w:t xml:space="preserve"> Uniforme Inrichting Volmachtketen.</w:t>
      </w:r>
    </w:p>
    <w:p w14:paraId="14E6F757" w14:textId="75C51076" w:rsidR="00F9458B" w:rsidRDefault="00F9458B" w:rsidP="00F9458B">
      <w:pPr>
        <w:pStyle w:val="Lijstalinea"/>
        <w:jc w:val="both"/>
      </w:pPr>
      <w:r>
        <w:t xml:space="preserve">Binnen de </w:t>
      </w:r>
      <w:r w:rsidRPr="00C310C1">
        <w:t xml:space="preserve">Samenwerkingsovereenkomst Volmachten tussen verzekeraar en volmacht </w:t>
      </w:r>
      <w:r w:rsidR="002F7DEC">
        <w:t>kunnen op punten afwijkende afspraken gemaakt worden</w:t>
      </w:r>
      <w:r w:rsidRPr="00C310C1">
        <w:t>.</w:t>
      </w:r>
    </w:p>
    <w:p w14:paraId="522000C3" w14:textId="1855826D" w:rsidR="002F7DEC" w:rsidRDefault="002F7DEC" w:rsidP="002F7DEC">
      <w:pPr>
        <w:pStyle w:val="Lijstalinea"/>
        <w:jc w:val="both"/>
      </w:pPr>
      <w:r>
        <w:t>In dit document worden aanvullende uitzonderingen vastgelegd.</w:t>
      </w:r>
    </w:p>
    <w:p w14:paraId="187F32A6" w14:textId="612E5DCC" w:rsidR="00F9458B" w:rsidRDefault="002F7DEC" w:rsidP="00F9458B">
      <w:pPr>
        <w:pStyle w:val="Kop1"/>
      </w:pPr>
      <w:r>
        <w:t>Proces</w:t>
      </w:r>
    </w:p>
    <w:p w14:paraId="4F351C1F" w14:textId="20189843" w:rsidR="002F7DEC" w:rsidRDefault="002F7DEC" w:rsidP="00F9458B">
      <w:pPr>
        <w:pStyle w:val="Lijstalinea"/>
        <w:numPr>
          <w:ilvl w:val="0"/>
          <w:numId w:val="2"/>
        </w:numPr>
        <w:jc w:val="both"/>
      </w:pPr>
      <w:r w:rsidRPr="00C310C1">
        <w:t xml:space="preserve">Indien verzekeraar en volmacht gezamenlijk besluiten af te wijken van de productdefinitie en/of het Protocol, dan legt de volmacht deze afspraken schriftelijk vast </w:t>
      </w:r>
      <w:r>
        <w:t>in deze template. Volmacht en verzekeraar tekenen beiden voor akkoord.</w:t>
      </w:r>
    </w:p>
    <w:p w14:paraId="475A5DCE" w14:textId="77777777" w:rsidR="002F7DEC" w:rsidRDefault="002F7DEC" w:rsidP="00F9458B">
      <w:pPr>
        <w:pStyle w:val="Lijstalinea"/>
        <w:numPr>
          <w:ilvl w:val="0"/>
          <w:numId w:val="2"/>
        </w:numPr>
        <w:jc w:val="both"/>
      </w:pPr>
      <w:r>
        <w:t>Zowel volmacht als verzekeraar kennen een procedure voor het beheer van deze documenten.</w:t>
      </w:r>
    </w:p>
    <w:p w14:paraId="1A618C1C" w14:textId="103039DD" w:rsidR="002F7DEC" w:rsidRDefault="002F7DEC" w:rsidP="00F9458B">
      <w:pPr>
        <w:pStyle w:val="Lijstalinea"/>
        <w:numPr>
          <w:ilvl w:val="0"/>
          <w:numId w:val="2"/>
        </w:numPr>
        <w:jc w:val="both"/>
      </w:pPr>
      <w:r>
        <w:t>Zowel volmacht als verzekeraar moeten afspraken rond afwijkingen gedurende de geldigheid van de afspraak kunnen overleggen.</w:t>
      </w:r>
    </w:p>
    <w:p w14:paraId="6EC72C68" w14:textId="3D53DB42" w:rsidR="00094D56" w:rsidRDefault="00094D56">
      <w:pPr>
        <w:rPr>
          <w:rFonts w:cstheme="minorHAnsi"/>
          <w:sz w:val="20"/>
          <w:szCs w:val="20"/>
        </w:rPr>
      </w:pPr>
    </w:p>
    <w:sectPr w:rsidR="00094D56" w:rsidSect="00F02157">
      <w:headerReference w:type="default" r:id="rId11"/>
      <w:footerReference w:type="default" r:id="rId12"/>
      <w:pgSz w:w="16838" w:h="11906" w:orient="landscape"/>
      <w:pgMar w:top="720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1FE0" w14:textId="77777777" w:rsidR="002429F7" w:rsidRDefault="002429F7" w:rsidP="00F02157">
      <w:pPr>
        <w:spacing w:after="0" w:line="240" w:lineRule="auto"/>
      </w:pPr>
      <w:r>
        <w:separator/>
      </w:r>
    </w:p>
  </w:endnote>
  <w:endnote w:type="continuationSeparator" w:id="0">
    <w:p w14:paraId="212E4EF7" w14:textId="77777777" w:rsidR="002429F7" w:rsidRDefault="002429F7" w:rsidP="00F0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91310473"/>
      <w:docPartObj>
        <w:docPartGallery w:val="Page Numbers (Bottom of Page)"/>
        <w:docPartUnique/>
      </w:docPartObj>
    </w:sdtPr>
    <w:sdtEndPr/>
    <w:sdtContent>
      <w:p w14:paraId="21CFA94B" w14:textId="5057FD68" w:rsidR="00F02157" w:rsidRPr="00F02157" w:rsidRDefault="00F02157" w:rsidP="00F02157">
        <w:pPr>
          <w:pStyle w:val="Voettekst"/>
          <w:jc w:val="right"/>
          <w:rPr>
            <w:sz w:val="16"/>
            <w:szCs w:val="16"/>
          </w:rPr>
        </w:pPr>
        <w:r w:rsidRPr="00F02157">
          <w:rPr>
            <w:sz w:val="16"/>
            <w:szCs w:val="16"/>
          </w:rPr>
          <w:t xml:space="preserve">Pagina </w:t>
        </w:r>
        <w:r w:rsidRPr="00F02157">
          <w:rPr>
            <w:sz w:val="16"/>
            <w:szCs w:val="16"/>
          </w:rPr>
          <w:fldChar w:fldCharType="begin"/>
        </w:r>
        <w:r w:rsidRPr="00F02157">
          <w:rPr>
            <w:sz w:val="16"/>
            <w:szCs w:val="16"/>
          </w:rPr>
          <w:instrText>PAGE  \* Arabic  \* MERGEFORMAT</w:instrText>
        </w:r>
        <w:r w:rsidRPr="00F02157">
          <w:rPr>
            <w:sz w:val="16"/>
            <w:szCs w:val="16"/>
          </w:rPr>
          <w:fldChar w:fldCharType="separate"/>
        </w:r>
        <w:r w:rsidRPr="00F02157">
          <w:rPr>
            <w:sz w:val="16"/>
            <w:szCs w:val="16"/>
          </w:rPr>
          <w:t>1</w:t>
        </w:r>
        <w:r w:rsidRPr="00F02157">
          <w:rPr>
            <w:sz w:val="16"/>
            <w:szCs w:val="16"/>
          </w:rPr>
          <w:fldChar w:fldCharType="end"/>
        </w:r>
        <w:r w:rsidRPr="00F02157">
          <w:rPr>
            <w:sz w:val="16"/>
            <w:szCs w:val="16"/>
          </w:rPr>
          <w:t xml:space="preserve"> van </w:t>
        </w:r>
        <w:r w:rsidRPr="00F02157">
          <w:rPr>
            <w:sz w:val="16"/>
            <w:szCs w:val="16"/>
          </w:rPr>
          <w:fldChar w:fldCharType="begin"/>
        </w:r>
        <w:r w:rsidRPr="00F02157">
          <w:rPr>
            <w:sz w:val="16"/>
            <w:szCs w:val="16"/>
          </w:rPr>
          <w:instrText>NUMPAGES  \* Arabic  \* MERGEFORMAT</w:instrText>
        </w:r>
        <w:r w:rsidRPr="00F02157">
          <w:rPr>
            <w:sz w:val="16"/>
            <w:szCs w:val="16"/>
          </w:rPr>
          <w:fldChar w:fldCharType="separate"/>
        </w:r>
        <w:r w:rsidRPr="00F02157">
          <w:rPr>
            <w:sz w:val="16"/>
            <w:szCs w:val="16"/>
          </w:rPr>
          <w:t>2</w:t>
        </w:r>
        <w:r w:rsidRPr="00F02157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8209" w14:textId="77777777" w:rsidR="002429F7" w:rsidRDefault="002429F7" w:rsidP="00F02157">
      <w:pPr>
        <w:spacing w:after="0" w:line="240" w:lineRule="auto"/>
      </w:pPr>
      <w:r>
        <w:separator/>
      </w:r>
    </w:p>
  </w:footnote>
  <w:footnote w:type="continuationSeparator" w:id="0">
    <w:p w14:paraId="22315856" w14:textId="77777777" w:rsidR="002429F7" w:rsidRDefault="002429F7" w:rsidP="00F0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EB93" w14:textId="17854C06" w:rsidR="00F02157" w:rsidRPr="00F02157" w:rsidRDefault="00F02157">
    <w:pPr>
      <w:pStyle w:val="Koptekst"/>
      <w:rPr>
        <w:b/>
        <w:bCs/>
      </w:rPr>
    </w:pPr>
    <w:r w:rsidRPr="00704D9D">
      <w:rPr>
        <w:b/>
        <w:bCs/>
        <w:noProof/>
        <w:color w:val="617FD9"/>
        <w:sz w:val="28"/>
        <w:szCs w:val="28"/>
        <w:lang w:eastAsia="nl-NL"/>
      </w:rPr>
      <w:drawing>
        <wp:anchor distT="0" distB="0" distL="114300" distR="114300" simplePos="0" relativeHeight="251658240" behindDoc="0" locked="0" layoutInCell="1" allowOverlap="1" wp14:anchorId="39922E1A" wp14:editId="2754AD10">
          <wp:simplePos x="0" y="0"/>
          <wp:positionH relativeFrom="margin">
            <wp:align>right</wp:align>
          </wp:positionH>
          <wp:positionV relativeFrom="paragraph">
            <wp:posOffset>-138430</wp:posOffset>
          </wp:positionV>
          <wp:extent cx="2066290" cy="391795"/>
          <wp:effectExtent l="0" t="0" r="0" b="8255"/>
          <wp:wrapNone/>
          <wp:docPr id="1" name="Afbeelding 1" descr="C:\Herman\Werk - Volmachten\Stukken - Stichting\Logo\SUIV Logo Uitgeschrev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Herman\Werk - Volmachten\Stukken - Stichting\Logo\SUIV Logo Uitgeschrev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D9D" w:rsidRPr="00704D9D">
      <w:rPr>
        <w:b/>
        <w:bCs/>
        <w:color w:val="617FD9"/>
        <w:sz w:val="28"/>
        <w:szCs w:val="28"/>
      </w:rPr>
      <w:t>Vastlegging afwijkende a</w:t>
    </w:r>
    <w:r w:rsidRPr="00704D9D">
      <w:rPr>
        <w:b/>
        <w:bCs/>
        <w:color w:val="617FD9"/>
        <w:sz w:val="28"/>
        <w:szCs w:val="28"/>
      </w:rPr>
      <w:t>fspraken Protocol Uniforme Inrichting Volmachtketen en/of volmachtproduct</w:t>
    </w:r>
  </w:p>
  <w:p w14:paraId="062B4058" w14:textId="77777777" w:rsidR="00F02157" w:rsidRDefault="00F021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37F7"/>
    <w:multiLevelType w:val="hybridMultilevel"/>
    <w:tmpl w:val="570258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D475C"/>
    <w:multiLevelType w:val="hybridMultilevel"/>
    <w:tmpl w:val="CEF07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157"/>
    <w:rsid w:val="00004D85"/>
    <w:rsid w:val="000139F1"/>
    <w:rsid w:val="000406F0"/>
    <w:rsid w:val="000758CD"/>
    <w:rsid w:val="00094D56"/>
    <w:rsid w:val="001100F7"/>
    <w:rsid w:val="001465CF"/>
    <w:rsid w:val="00193A03"/>
    <w:rsid w:val="0023318D"/>
    <w:rsid w:val="002429F7"/>
    <w:rsid w:val="00245114"/>
    <w:rsid w:val="00290D76"/>
    <w:rsid w:val="002F7DEC"/>
    <w:rsid w:val="0032325B"/>
    <w:rsid w:val="00350C6D"/>
    <w:rsid w:val="003567B7"/>
    <w:rsid w:val="003F6F9F"/>
    <w:rsid w:val="004562A1"/>
    <w:rsid w:val="004B120A"/>
    <w:rsid w:val="00507E3B"/>
    <w:rsid w:val="005D5D84"/>
    <w:rsid w:val="0060454F"/>
    <w:rsid w:val="0065411F"/>
    <w:rsid w:val="00704D9D"/>
    <w:rsid w:val="007535EA"/>
    <w:rsid w:val="00832B05"/>
    <w:rsid w:val="00874B84"/>
    <w:rsid w:val="008D5968"/>
    <w:rsid w:val="00903E07"/>
    <w:rsid w:val="009604EB"/>
    <w:rsid w:val="009E753F"/>
    <w:rsid w:val="00A6181F"/>
    <w:rsid w:val="00B676F3"/>
    <w:rsid w:val="00B82761"/>
    <w:rsid w:val="00BE014F"/>
    <w:rsid w:val="00CD033B"/>
    <w:rsid w:val="00D04604"/>
    <w:rsid w:val="00D42DE6"/>
    <w:rsid w:val="00D51E5D"/>
    <w:rsid w:val="00DD2F52"/>
    <w:rsid w:val="00E21BFA"/>
    <w:rsid w:val="00E643A4"/>
    <w:rsid w:val="00EE07A0"/>
    <w:rsid w:val="00F02157"/>
    <w:rsid w:val="00F20473"/>
    <w:rsid w:val="00F6113B"/>
    <w:rsid w:val="00F75EB7"/>
    <w:rsid w:val="00F9458B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0283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F9458B"/>
    <w:pPr>
      <w:keepNext/>
      <w:keepLines/>
      <w:spacing w:before="480" w:after="0" w:line="360" w:lineRule="auto"/>
      <w:outlineLvl w:val="0"/>
    </w:pPr>
    <w:rPr>
      <w:rFonts w:ascii="Arial" w:eastAsiaTheme="majorEastAsia" w:hAnsi="Arial" w:cstheme="majorBidi"/>
      <w:b/>
      <w:color w:val="617FD9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2157"/>
  </w:style>
  <w:style w:type="paragraph" w:styleId="Voettekst">
    <w:name w:val="footer"/>
    <w:basedOn w:val="Standaard"/>
    <w:link w:val="VoettekstChar"/>
    <w:uiPriority w:val="99"/>
    <w:unhideWhenUsed/>
    <w:rsid w:val="00F0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2157"/>
  </w:style>
  <w:style w:type="table" w:styleId="Tabelraster">
    <w:name w:val="Table Grid"/>
    <w:basedOn w:val="Standaardtabel"/>
    <w:uiPriority w:val="39"/>
    <w:rsid w:val="00F0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F9458B"/>
    <w:rPr>
      <w:rFonts w:ascii="Arial" w:eastAsiaTheme="majorEastAsia" w:hAnsi="Arial" w:cstheme="majorBidi"/>
      <w:b/>
      <w:color w:val="617FD9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9458B"/>
    <w:pPr>
      <w:spacing w:after="0" w:line="288" w:lineRule="auto"/>
      <w:ind w:left="720"/>
      <w:contextualSpacing/>
    </w:pPr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9458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F954BD582A4597FF56BC6C94D6D3" ma:contentTypeVersion="11" ma:contentTypeDescription="Een nieuw document maken." ma:contentTypeScope="" ma:versionID="1b134ad426c191ae19a1fd095055b1a2">
  <xsd:schema xmlns:xsd="http://www.w3.org/2001/XMLSchema" xmlns:xs="http://www.w3.org/2001/XMLSchema" xmlns:p="http://schemas.microsoft.com/office/2006/metadata/properties" xmlns:ns2="94e5e58c-1460-42bd-84fe-9b854d7785b5" xmlns:ns3="6063dcfc-0d21-4d2d-9829-54f55d2c701d" targetNamespace="http://schemas.microsoft.com/office/2006/metadata/properties" ma:root="true" ma:fieldsID="e740d62fce2bf6e9306407e7d3385e84" ns2:_="" ns3:_="">
    <xsd:import namespace="94e5e58c-1460-42bd-84fe-9b854d7785b5"/>
    <xsd:import namespace="6063dcfc-0d21-4d2d-9829-54f55d2c7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5e58c-1460-42bd-84fe-9b854d778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3dcfc-0d21-4d2d-9829-54f55d2c7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490F2-C280-45FB-8CD1-AA85B3EB7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7EF25-0BBE-4694-82B6-3AD5D82D3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12A63-CC99-470C-B39B-374E1220F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D9DE5-0002-4043-ACCF-AB26A9E82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5e58c-1460-42bd-84fe-9b854d7785b5"/>
    <ds:schemaRef ds:uri="6063dcfc-0d21-4d2d-9829-54f55d2c7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2021-05-03T12:51:00Z</dcterms:created>
  <dcterms:modified xsi:type="dcterms:W3CDTF">2021-05-03T12:51:00Z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0x010100629DF954BD582A4597FF56BC6C94D6D3</vt:lpwstr>
  </property>
</Properties>
</file>